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B33" w:rsidRDefault="004B566B">
      <w:pPr>
        <w:pStyle w:val="Title"/>
      </w:pPr>
      <w:r>
        <w:t>Demand &amp; Supply Strategy Module</w:t>
      </w:r>
    </w:p>
    <w:p w:rsidR="00402B33" w:rsidRDefault="004B566B">
      <w:pPr>
        <w:spacing w:after="240"/>
        <w:rPr>
          <w:rFonts w:hint="eastAsia"/>
        </w:rPr>
      </w:pPr>
      <w:r>
        <w:rPr>
          <w:color w:val="5F6973"/>
        </w:rPr>
        <w:t>Paper strategy structures, execution rules, rollover, and analysis</w:t>
      </w:r>
    </w:p>
    <w:p w:rsidR="00402B33" w:rsidRDefault="004B566B">
      <w:pPr>
        <w:pStyle w:val="Heading2"/>
      </w:pPr>
      <w:r>
        <w:t>Scope</w:t>
      </w:r>
    </w:p>
    <w:p w:rsidR="00402B33" w:rsidRDefault="004B566B">
      <w:pPr>
        <w:rPr>
          <w:rFonts w:hint="eastAsia"/>
        </w:rPr>
      </w:pPr>
      <w:r>
        <w:t xml:space="preserve">The Demand &amp; Supply page is an isolated strategy-configuration and paper-execution module. It stores validated setups, resolves contracts from the </w:t>
      </w:r>
      <w:r>
        <w:t>Dhan master, subscribes every active leg to the WebSocket, and persists execution state independently of the browser. It never submits live orders.</w:t>
      </w:r>
    </w:p>
    <w:p w:rsidR="00402B33" w:rsidRDefault="004B566B">
      <w:pPr>
        <w:rPr>
          <w:rFonts w:hint="eastAsia"/>
        </w:rPr>
      </w:pPr>
      <w:r>
        <w:t>Paper fills use the latest fresh WebSocket price. A missing, stale, simulated, REST-quote, or zero market pr</w:t>
      </w:r>
      <w:r>
        <w:t>ice never triggers an entry, stop loss, target, or exit.</w:t>
      </w:r>
    </w:p>
    <w:p w:rsidR="00402B33" w:rsidRDefault="004B566B">
      <w:pPr>
        <w:pStyle w:val="Heading2"/>
      </w:pPr>
      <w:r>
        <w:t>Common Concepts</w:t>
      </w:r>
    </w:p>
    <w:p w:rsidR="00402B33" w:rsidRDefault="004B566B">
      <w:pPr>
        <w:pStyle w:val="ListBullet"/>
        <w:rPr>
          <w:rFonts w:hint="eastAsia"/>
        </w:rPr>
      </w:pPr>
      <w:r>
        <w:rPr>
          <w:b/>
        </w:rPr>
        <w:t>Reference price:</w:t>
      </w:r>
      <w:r>
        <w:t xml:space="preserve"> Spot/equity by default. A futures reference can be selected where relevant.</w:t>
      </w:r>
    </w:p>
    <w:p w:rsidR="00402B33" w:rsidRDefault="004B566B">
      <w:pPr>
        <w:pStyle w:val="ListBullet"/>
        <w:rPr>
          <w:rFonts w:hint="eastAsia"/>
        </w:rPr>
      </w:pPr>
      <w:r>
        <w:rPr>
          <w:b/>
        </w:rPr>
        <w:t>Relative option strike:</w:t>
      </w:r>
      <w:r>
        <w:t xml:space="preserve"> ATM, OTM </w:t>
      </w:r>
      <w:r>
        <w:rPr>
          <w:rFonts w:ascii="Consolas" w:hAnsi="Consolas"/>
          <w:sz w:val="17"/>
        </w:rPr>
        <w:t>n</w:t>
      </w:r>
      <w:r>
        <w:t xml:space="preserve">, or ITM </w:t>
      </w:r>
      <w:r>
        <w:rPr>
          <w:rFonts w:ascii="Consolas" w:hAnsi="Consolas"/>
          <w:sz w:val="17"/>
        </w:rPr>
        <w:t>n</w:t>
      </w:r>
      <w:r>
        <w:t>, resolved from the Dhan security master for t</w:t>
      </w:r>
      <w:r>
        <w:t>he selected expiry.</w:t>
      </w:r>
    </w:p>
    <w:p w:rsidR="00402B33" w:rsidRDefault="004B566B">
      <w:pPr>
        <w:pStyle w:val="ListBullet"/>
        <w:rPr>
          <w:rFonts w:hint="eastAsia"/>
        </w:rPr>
      </w:pPr>
      <w:r>
        <w:rPr>
          <w:b/>
        </w:rPr>
        <w:t>Exact option strike:</w:t>
      </w:r>
      <w:r>
        <w:t xml:space="preserve"> A numerical strike selected directly by the user.</w:t>
      </w:r>
    </w:p>
    <w:p w:rsidR="00402B33" w:rsidRDefault="004B566B">
      <w:pPr>
        <w:pStyle w:val="ListBullet"/>
        <w:rPr>
          <w:rFonts w:hint="eastAsia"/>
        </w:rPr>
      </w:pPr>
      <w:r>
        <w:rPr>
          <w:b/>
        </w:rPr>
        <w:t>Independent expiry:</w:t>
      </w:r>
      <w:r>
        <w:t xml:space="preserve"> Every option leg can use Current, Next, Monthly, or a fixed expiry.</w:t>
      </w:r>
    </w:p>
    <w:p w:rsidR="00402B33" w:rsidRDefault="004B566B">
      <w:pPr>
        <w:pStyle w:val="ListBullet"/>
        <w:rPr>
          <w:rFonts w:hint="eastAsia"/>
        </w:rPr>
      </w:pPr>
      <w:r>
        <w:rPr>
          <w:b/>
        </w:rPr>
        <w:t>Quantity:</w:t>
      </w:r>
      <w:r>
        <w:t xml:space="preserve"> Equity uses shares. Futures and options use lots; executable quanti</w:t>
      </w:r>
      <w:r>
        <w:t>ty is lot size multiplied by lots.</w:t>
      </w:r>
    </w:p>
    <w:p w:rsidR="00402B33" w:rsidRDefault="004B566B">
      <w:pPr>
        <w:pStyle w:val="ListBullet"/>
        <w:rPr>
          <w:rFonts w:hint="eastAsia"/>
        </w:rPr>
      </w:pPr>
      <w:r>
        <w:rPr>
          <w:b/>
        </w:rPr>
        <w:t>Strategy P&amp;L:</w:t>
      </w:r>
      <w:r>
        <w:t xml:space="preserve"> Combined P&amp;L is the sum of all equity, future, and option legs. Each leg must also retain its own P&amp;L.</w:t>
      </w:r>
    </w:p>
    <w:p w:rsidR="00402B33" w:rsidRDefault="004B566B">
      <w:pPr>
        <w:pStyle w:val="Heading2"/>
      </w:pPr>
      <w:r>
        <w:t>1. Pure Equity</w:t>
      </w:r>
    </w:p>
    <w:p w:rsidR="00402B33" w:rsidRDefault="004B566B">
      <w:pPr>
        <w:rPr>
          <w:rFonts w:hint="eastAsia"/>
        </w:rPr>
      </w:pPr>
      <w:r>
        <w:t>Purpose: a manual Demand &amp; Supply entry in NSE or BSE equity.</w:t>
      </w:r>
    </w:p>
    <w:p w:rsidR="00402B33" w:rsidRDefault="004B566B">
      <w:pPr>
        <w:rPr>
          <w:rFonts w:hint="eastAsia"/>
        </w:rPr>
      </w:pPr>
      <w:r>
        <w:t>Inputs:</w:t>
      </w:r>
    </w:p>
    <w:p w:rsidR="00402B33" w:rsidRDefault="004B566B">
      <w:pPr>
        <w:pStyle w:val="ListBullet"/>
        <w:rPr>
          <w:rFonts w:hint="eastAsia"/>
        </w:rPr>
      </w:pPr>
      <w:r>
        <w:t>NSE/BSE equity symb</w:t>
      </w:r>
      <w:r>
        <w:t>ol</w:t>
      </w:r>
    </w:p>
    <w:p w:rsidR="00402B33" w:rsidRDefault="004B566B">
      <w:pPr>
        <w:pStyle w:val="ListBullet"/>
        <w:rPr>
          <w:rFonts w:hint="eastAsia"/>
        </w:rPr>
      </w:pPr>
      <w:r>
        <w:t>BUY or SELL</w:t>
      </w:r>
    </w:p>
    <w:p w:rsidR="00402B33" w:rsidRDefault="004B566B">
      <w:pPr>
        <w:pStyle w:val="ListBullet"/>
        <w:rPr>
          <w:rFonts w:hint="eastAsia"/>
        </w:rPr>
      </w:pPr>
      <w:r>
        <w:t>Entry, stop loss, target, and share quantity</w:t>
      </w:r>
    </w:p>
    <w:p w:rsidR="00402B33" w:rsidRDefault="004B566B">
      <w:pPr>
        <w:pStyle w:val="ListBullet"/>
        <w:rPr>
          <w:rFonts w:hint="eastAsia"/>
        </w:rPr>
      </w:pPr>
      <w:r>
        <w:t>Positional paper holding mode</w:t>
      </w:r>
    </w:p>
    <w:p w:rsidR="00402B33" w:rsidRDefault="004B566B">
      <w:pPr>
        <w:rPr>
          <w:rFonts w:hint="eastAsia"/>
        </w:rPr>
      </w:pPr>
      <w:r>
        <w:t>Validation:</w:t>
      </w:r>
    </w:p>
    <w:p w:rsidR="00402B33" w:rsidRDefault="004B566B">
      <w:pPr>
        <w:pStyle w:val="ListBullet"/>
        <w:rPr>
          <w:rFonts w:hint="eastAsia"/>
        </w:rPr>
      </w:pPr>
      <w:r>
        <w:t xml:space="preserve">BUY: </w:t>
      </w:r>
      <w:r>
        <w:rPr>
          <w:rFonts w:ascii="Consolas" w:hAnsi="Consolas"/>
          <w:sz w:val="17"/>
        </w:rPr>
        <w:t>SL &lt; Entry &lt; Target</w:t>
      </w:r>
    </w:p>
    <w:p w:rsidR="00402B33" w:rsidRDefault="004B566B">
      <w:pPr>
        <w:pStyle w:val="ListBullet"/>
        <w:rPr>
          <w:rFonts w:hint="eastAsia"/>
        </w:rPr>
      </w:pPr>
      <w:r>
        <w:t xml:space="preserve">SELL: </w:t>
      </w:r>
      <w:r>
        <w:rPr>
          <w:rFonts w:ascii="Consolas" w:hAnsi="Consolas"/>
          <w:sz w:val="17"/>
        </w:rPr>
        <w:t>Target &lt; Entry &lt; SL</w:t>
      </w:r>
    </w:p>
    <w:p w:rsidR="00402B33" w:rsidRDefault="004B566B">
      <w:pPr>
        <w:rPr>
          <w:rFonts w:hint="eastAsia"/>
        </w:rPr>
      </w:pPr>
      <w:r>
        <w:t>Paper execution rule: BUY triggers when spot crosses down to or below Entry; SELL triggers when spot cr</w:t>
      </w:r>
      <w:r>
        <w:t>osses up to or above Entry. A crossed price triggers even if the exact level is skipped.</w:t>
      </w:r>
    </w:p>
    <w:p w:rsidR="00402B33" w:rsidRDefault="004B566B">
      <w:pPr>
        <w:pStyle w:val="Heading2"/>
      </w:pPr>
      <w:r>
        <w:t>2. Equity Options Overlay</w:t>
      </w:r>
    </w:p>
    <w:p w:rsidR="00402B33" w:rsidRDefault="004B566B">
      <w:pPr>
        <w:rPr>
          <w:rFonts w:hint="eastAsia"/>
        </w:rPr>
      </w:pPr>
      <w:r>
        <w:t>Purpose: combine an equity position with one or more option legs.</w:t>
      </w:r>
    </w:p>
    <w:p w:rsidR="00402B33" w:rsidRDefault="004B566B">
      <w:pPr>
        <w:rPr>
          <w:rFonts w:hint="eastAsia"/>
        </w:rPr>
      </w:pPr>
      <w:r>
        <w:t xml:space="preserve">The equity leg uses the configured entry, stop loss, target, quantity, and </w:t>
      </w:r>
      <w:r>
        <w:t>product. Each option leg independently defines BUY/SELL, CE/PE, expiry, strike selection, lots, and role.</w:t>
      </w:r>
    </w:p>
    <w:p w:rsidR="00402B33" w:rsidRDefault="004B566B">
      <w:pPr>
        <w:rPr>
          <w:rFonts w:hint="eastAsia"/>
        </w:rPr>
      </w:pPr>
      <w:r>
        <w:t>Typical presets:</w:t>
      </w:r>
    </w:p>
    <w:p w:rsidR="00402B33" w:rsidRDefault="004B566B">
      <w:pPr>
        <w:pStyle w:val="ListBullet"/>
        <w:rPr>
          <w:rFonts w:hint="eastAsia"/>
        </w:rPr>
      </w:pPr>
      <w:r>
        <w:rPr>
          <w:b/>
        </w:rPr>
        <w:t>Covered Call:</w:t>
      </w:r>
      <w:r>
        <w:t xml:space="preserve"> Buy equity and sell CE.</w:t>
      </w:r>
    </w:p>
    <w:p w:rsidR="00402B33" w:rsidRDefault="004B566B">
      <w:pPr>
        <w:pStyle w:val="ListBullet"/>
        <w:rPr>
          <w:rFonts w:hint="eastAsia"/>
        </w:rPr>
      </w:pPr>
      <w:r>
        <w:rPr>
          <w:b/>
        </w:rPr>
        <w:t>Protective Put:</w:t>
      </w:r>
      <w:r>
        <w:t xml:space="preserve"> Buy equity and buy PE.</w:t>
      </w:r>
    </w:p>
    <w:p w:rsidR="00402B33" w:rsidRDefault="004B566B">
      <w:pPr>
        <w:pStyle w:val="ListBullet"/>
        <w:rPr>
          <w:rFonts w:hint="eastAsia"/>
        </w:rPr>
      </w:pPr>
      <w:r>
        <w:rPr>
          <w:b/>
        </w:rPr>
        <w:t>Collar:</w:t>
      </w:r>
      <w:r>
        <w:t xml:space="preserve"> Buy equity, sell CE, and buy PE.</w:t>
      </w:r>
    </w:p>
    <w:p w:rsidR="00402B33" w:rsidRDefault="004B566B">
      <w:pPr>
        <w:pStyle w:val="ListBullet"/>
        <w:rPr>
          <w:rFonts w:hint="eastAsia"/>
        </w:rPr>
      </w:pPr>
      <w:r>
        <w:rPr>
          <w:b/>
        </w:rPr>
        <w:t xml:space="preserve">Bullish Put </w:t>
      </w:r>
      <w:r>
        <w:rPr>
          <w:b/>
        </w:rPr>
        <w:t>Overlay:</w:t>
      </w:r>
      <w:r>
        <w:t xml:space="preserve"> Buy equity and sell PE. This increases bullish downside exposure and is not a hedge.</w:t>
      </w:r>
    </w:p>
    <w:p w:rsidR="00402B33" w:rsidRDefault="004B566B">
      <w:pPr>
        <w:pStyle w:val="ListBullet"/>
        <w:rPr>
          <w:rFonts w:hint="eastAsia"/>
        </w:rPr>
      </w:pPr>
      <w:r>
        <w:rPr>
          <w:b/>
        </w:rPr>
        <w:t>Custom Overlay:</w:t>
      </w:r>
      <w:r>
        <w:t xml:space="preserve"> Any validated collection of option legs.</w:t>
      </w:r>
    </w:p>
    <w:p w:rsidR="00402B33" w:rsidRDefault="004B566B">
      <w:pPr>
        <w:pStyle w:val="Heading2"/>
      </w:pPr>
      <w:r>
        <w:t>3. Futures Options Overlay</w:t>
      </w:r>
    </w:p>
    <w:p w:rsidR="00402B33" w:rsidRDefault="004B566B">
      <w:pPr>
        <w:rPr>
          <w:rFonts w:hint="eastAsia"/>
        </w:rPr>
      </w:pPr>
      <w:r>
        <w:t>Purpose: combine a long or short future with configurable option legs.</w:t>
      </w:r>
    </w:p>
    <w:p w:rsidR="00402B33" w:rsidRDefault="004B566B">
      <w:pPr>
        <w:rPr>
          <w:rFonts w:hint="eastAsia"/>
        </w:rPr>
      </w:pPr>
      <w:r>
        <w:t>Typical</w:t>
      </w:r>
      <w:r>
        <w:t xml:space="preserve"> presets:</w:t>
      </w:r>
    </w:p>
    <w:p w:rsidR="00402B33" w:rsidRDefault="004B566B">
      <w:pPr>
        <w:pStyle w:val="ListBullet"/>
        <w:rPr>
          <w:rFonts w:hint="eastAsia"/>
        </w:rPr>
      </w:pPr>
      <w:r>
        <w:rPr>
          <w:b/>
        </w:rPr>
        <w:t>Future Shield Long:</w:t>
      </w:r>
      <w:r>
        <w:t xml:space="preserve"> Buy future and buy PE.</w:t>
      </w:r>
    </w:p>
    <w:p w:rsidR="00402B33" w:rsidRDefault="004B566B">
      <w:pPr>
        <w:pStyle w:val="ListBullet"/>
        <w:rPr>
          <w:rFonts w:hint="eastAsia"/>
        </w:rPr>
      </w:pPr>
      <w:r>
        <w:rPr>
          <w:b/>
        </w:rPr>
        <w:t>Future Shield Short:</w:t>
      </w:r>
      <w:r>
        <w:t xml:space="preserve"> Sell future and buy CE.</w:t>
      </w:r>
    </w:p>
    <w:p w:rsidR="00402B33" w:rsidRDefault="004B566B">
      <w:pPr>
        <w:pStyle w:val="ListBullet"/>
        <w:rPr>
          <w:rFonts w:hint="eastAsia"/>
        </w:rPr>
      </w:pPr>
      <w:r>
        <w:rPr>
          <w:b/>
        </w:rPr>
        <w:t>Covered Future Long:</w:t>
      </w:r>
      <w:r>
        <w:t xml:space="preserve"> Buy future and sell OTM CE.</w:t>
      </w:r>
    </w:p>
    <w:p w:rsidR="00402B33" w:rsidRDefault="004B566B">
      <w:pPr>
        <w:pStyle w:val="ListBullet"/>
        <w:rPr>
          <w:rFonts w:hint="eastAsia"/>
        </w:rPr>
      </w:pPr>
      <w:r>
        <w:rPr>
          <w:b/>
        </w:rPr>
        <w:lastRenderedPageBreak/>
        <w:t>Covered Future Short:</w:t>
      </w:r>
      <w:r>
        <w:t xml:space="preserve"> Sell future and sell OTM PE.</w:t>
      </w:r>
    </w:p>
    <w:p w:rsidR="00402B33" w:rsidRDefault="004B566B">
      <w:pPr>
        <w:pStyle w:val="ListBullet"/>
        <w:rPr>
          <w:rFonts w:hint="eastAsia"/>
        </w:rPr>
      </w:pPr>
      <w:r>
        <w:rPr>
          <w:b/>
        </w:rPr>
        <w:t>Future Collar:</w:t>
      </w:r>
      <w:r>
        <w:t xml:space="preserve"> Buy future, buy PE, and sell OTM CE.</w:t>
      </w:r>
    </w:p>
    <w:p w:rsidR="00402B33" w:rsidRDefault="004B566B">
      <w:pPr>
        <w:pStyle w:val="ListBullet"/>
        <w:rPr>
          <w:rFonts w:hint="eastAsia"/>
        </w:rPr>
      </w:pPr>
      <w:r>
        <w:rPr>
          <w:b/>
        </w:rPr>
        <w:t>Reverse Future Collar:</w:t>
      </w:r>
      <w:r>
        <w:t xml:space="preserve"> Sell future, buy CE, and sell OTM PE.</w:t>
      </w:r>
    </w:p>
    <w:p w:rsidR="00402B33" w:rsidRDefault="004B566B">
      <w:pPr>
        <w:rPr>
          <w:rFonts w:hint="eastAsia"/>
        </w:rPr>
      </w:pPr>
      <w:r>
        <w:t>The future expiry and each option expiry are independent. This is required for contracts whose futures and options expire on different dates.</w:t>
      </w:r>
    </w:p>
    <w:p w:rsidR="00402B33" w:rsidRDefault="004B566B">
      <w:pPr>
        <w:pStyle w:val="Heading2"/>
      </w:pPr>
      <w:r>
        <w:t>4. Equity Yield Ladder</w:t>
      </w:r>
    </w:p>
    <w:p w:rsidR="00402B33" w:rsidRDefault="004B566B">
      <w:pPr>
        <w:rPr>
          <w:rFonts w:hint="eastAsia"/>
        </w:rPr>
      </w:pPr>
      <w:r>
        <w:t>Purpose: accumulate exactly on</w:t>
      </w:r>
      <w:r>
        <w:t>e option-lot equivalent of equity in calculated tranches while carrying one short call lot.</w:t>
      </w:r>
    </w:p>
    <w:p w:rsidR="00402B33" w:rsidRDefault="004B566B">
      <w:pPr>
        <w:rPr>
          <w:rFonts w:hint="eastAsia"/>
        </w:rPr>
      </w:pPr>
      <w:r>
        <w:t>Inputs:</w:t>
      </w:r>
    </w:p>
    <w:p w:rsidR="00402B33" w:rsidRDefault="004B566B">
      <w:pPr>
        <w:pStyle w:val="ListBullet"/>
        <w:rPr>
          <w:rFonts w:hint="eastAsia"/>
        </w:rPr>
      </w:pPr>
      <w:r>
        <w:t xml:space="preserve">Starting spot price </w:t>
      </w:r>
      <w:r>
        <w:rPr>
          <w:rFonts w:ascii="Consolas" w:hAnsi="Consolas"/>
          <w:sz w:val="17"/>
        </w:rPr>
        <w:t>S</w:t>
      </w:r>
    </w:p>
    <w:p w:rsidR="00402B33" w:rsidRDefault="004B566B">
      <w:pPr>
        <w:pStyle w:val="ListBullet"/>
        <w:rPr>
          <w:rFonts w:hint="eastAsia"/>
        </w:rPr>
      </w:pPr>
      <w:r>
        <w:t xml:space="preserve">Call strike </w:t>
      </w:r>
      <w:r>
        <w:rPr>
          <w:rFonts w:ascii="Consolas" w:hAnsi="Consolas"/>
          <w:sz w:val="17"/>
        </w:rPr>
        <w:t>K</w:t>
      </w:r>
    </w:p>
    <w:p w:rsidR="00402B33" w:rsidRDefault="004B566B">
      <w:pPr>
        <w:pStyle w:val="ListBullet"/>
        <w:rPr>
          <w:rFonts w:hint="eastAsia"/>
        </w:rPr>
      </w:pPr>
      <w:r>
        <w:t xml:space="preserve">Call premium </w:t>
      </w:r>
      <w:r>
        <w:rPr>
          <w:rFonts w:ascii="Consolas" w:hAnsi="Consolas"/>
          <w:sz w:val="17"/>
        </w:rPr>
        <w:t>C</w:t>
      </w:r>
    </w:p>
    <w:p w:rsidR="00402B33" w:rsidRDefault="004B566B">
      <w:pPr>
        <w:pStyle w:val="ListBullet"/>
        <w:rPr>
          <w:rFonts w:hint="eastAsia"/>
        </w:rPr>
      </w:pPr>
      <w:r>
        <w:t xml:space="preserve">Master-contract lot size </w:t>
      </w:r>
      <w:r>
        <w:rPr>
          <w:rFonts w:ascii="Consolas" w:hAnsi="Consolas"/>
          <w:sz w:val="17"/>
        </w:rPr>
        <w:t>L</w:t>
      </w:r>
    </w:p>
    <w:p w:rsidR="00402B33" w:rsidRDefault="004B566B">
      <w:pPr>
        <w:pStyle w:val="ListBullet"/>
        <w:rPr>
          <w:rFonts w:hint="eastAsia"/>
        </w:rPr>
      </w:pPr>
      <w:r>
        <w:t xml:space="preserve">Target call delta, default </w:t>
      </w:r>
      <w:r>
        <w:rPr>
          <w:rFonts w:ascii="Consolas" w:hAnsi="Consolas"/>
          <w:sz w:val="17"/>
        </w:rPr>
        <w:t>0.30</w:t>
      </w:r>
    </w:p>
    <w:p w:rsidR="00402B33" w:rsidRDefault="004B566B">
      <w:pPr>
        <w:pStyle w:val="ListBullet"/>
        <w:rPr>
          <w:rFonts w:hint="eastAsia"/>
        </w:rPr>
      </w:pPr>
      <w:r>
        <w:t>Call expiry</w:t>
      </w:r>
    </w:p>
    <w:p w:rsidR="00402B33" w:rsidRDefault="004B566B">
      <w:pPr>
        <w:rPr>
          <w:rFonts w:hint="eastAsia"/>
        </w:rPr>
      </w:pPr>
      <w:r>
        <w:t>Formula supplied by the strategy o</w:t>
      </w:r>
      <w:r>
        <w:t>wner:</w:t>
      </w:r>
    </w:p>
    <w:p w:rsidR="00402B33" w:rsidRDefault="004B566B">
      <w:pPr>
        <w:spacing w:before="60" w:after="120"/>
        <w:ind w:left="259" w:right="259"/>
        <w:rPr>
          <w:rFonts w:hint="eastAsia"/>
        </w:rPr>
      </w:pPr>
      <w:r>
        <w:rPr>
          <w:rFonts w:ascii="Consolas" w:hAnsi="Consolas"/>
          <w:sz w:val="16"/>
          <w:shd w:val="clear" w:color="auto" w:fill="F1F4F5"/>
        </w:rPr>
        <w:t>Raw quantity per entry = round((L * C) / (K + C - S))</w:t>
      </w:r>
      <w:r>
        <w:rPr>
          <w:rFonts w:ascii="Consolas" w:hAnsi="Consolas"/>
          <w:sz w:val="16"/>
          <w:shd w:val="clear" w:color="auto" w:fill="F1F4F5"/>
        </w:rPr>
        <w:br/>
        <w:t>Entry count            = round(L / Raw quantity per entry)</w:t>
      </w:r>
      <w:r>
        <w:rPr>
          <w:rFonts w:ascii="Consolas" w:hAnsi="Consolas"/>
          <w:sz w:val="16"/>
          <w:shd w:val="clear" w:color="auto" w:fill="F1F4F5"/>
        </w:rPr>
        <w:br/>
        <w:t>Entry interval         = (K - S) / Entry count</w:t>
      </w:r>
      <w:r>
        <w:rPr>
          <w:rFonts w:ascii="Consolas" w:hAnsi="Consolas"/>
          <w:sz w:val="16"/>
          <w:shd w:val="clear" w:color="auto" w:fill="F1F4F5"/>
        </w:rPr>
        <w:br/>
        <w:t>Entry[x]               = S + Entry interval * x</w:t>
      </w:r>
    </w:p>
    <w:p w:rsidR="00402B33" w:rsidRDefault="004B566B">
      <w:pPr>
        <w:rPr>
          <w:rFonts w:hint="eastAsia"/>
        </w:rPr>
      </w:pPr>
      <w:r>
        <w:t>The implementation preserves this calculat</w:t>
      </w:r>
      <w:r>
        <w:t xml:space="preserve">ion but adjusts the final tranche so total equity equals exactly </w:t>
      </w:r>
      <w:r>
        <w:rPr>
          <w:rFonts w:ascii="Consolas" w:hAnsi="Consolas"/>
          <w:sz w:val="17"/>
        </w:rPr>
        <w:t>L</w:t>
      </w:r>
      <w:r>
        <w:t>. It does not overbuy shares when rounding produces a total above the lot size.</w:t>
      </w:r>
    </w:p>
    <w:p w:rsidR="00402B33" w:rsidRDefault="004B566B">
      <w:pPr>
        <w:rPr>
          <w:rFonts w:hint="eastAsia"/>
        </w:rPr>
      </w:pPr>
      <w:r>
        <w:t xml:space="preserve">Example using RELIANCE </w:t>
      </w:r>
      <w:r>
        <w:rPr>
          <w:rFonts w:ascii="Consolas" w:hAnsi="Consolas"/>
          <w:sz w:val="17"/>
        </w:rPr>
        <w:t>S=1429</w:t>
      </w:r>
      <w:r>
        <w:t xml:space="preserve">, </w:t>
      </w:r>
      <w:r>
        <w:rPr>
          <w:rFonts w:ascii="Consolas" w:hAnsi="Consolas"/>
          <w:sz w:val="17"/>
        </w:rPr>
        <w:t>K=1500</w:t>
      </w:r>
      <w:r>
        <w:t xml:space="preserve">, </w:t>
      </w:r>
      <w:r>
        <w:rPr>
          <w:rFonts w:ascii="Consolas" w:hAnsi="Consolas"/>
          <w:sz w:val="17"/>
        </w:rPr>
        <w:t>C=25</w:t>
      </w:r>
      <w:r>
        <w:t xml:space="preserve">, and </w:t>
      </w:r>
      <w:r>
        <w:rPr>
          <w:rFonts w:ascii="Consolas" w:hAnsi="Consolas"/>
          <w:sz w:val="17"/>
        </w:rPr>
        <w:t>L=500</w:t>
      </w:r>
      <w:r>
        <w:t>:</w:t>
      </w:r>
    </w:p>
    <w:tbl>
      <w:tblPr>
        <w:tblStyle w:val="TableGrid"/>
        <w:tblW w:w="0" w:type="auto"/>
        <w:tblLook w:val="04A0"/>
      </w:tblPr>
      <w:tblGrid>
        <w:gridCol w:w="3389"/>
        <w:gridCol w:w="3389"/>
        <w:gridCol w:w="3389"/>
      </w:tblGrid>
      <w:tr w:rsidR="00402B33">
        <w:tc>
          <w:tcPr>
            <w:tcW w:w="3389" w:type="dxa"/>
            <w:shd w:val="clear" w:color="auto" w:fill="146C7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Entry</w:t>
            </w:r>
          </w:p>
        </w:tc>
        <w:tc>
          <w:tcPr>
            <w:tcW w:w="3389" w:type="dxa"/>
            <w:shd w:val="clear" w:color="auto" w:fill="146C7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Trigger</w:t>
            </w:r>
          </w:p>
        </w:tc>
        <w:tc>
          <w:tcPr>
            <w:tcW w:w="3389" w:type="dxa"/>
            <w:shd w:val="clear" w:color="auto" w:fill="146C7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Shares</w:t>
            </w:r>
          </w:p>
        </w:tc>
      </w:tr>
      <w:tr w:rsidR="00402B33">
        <w:tc>
          <w:tcPr>
            <w:tcW w:w="338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E1</w:t>
            </w:r>
          </w:p>
        </w:tc>
        <w:tc>
          <w:tcPr>
            <w:tcW w:w="338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1429.00</w:t>
            </w:r>
          </w:p>
        </w:tc>
        <w:tc>
          <w:tcPr>
            <w:tcW w:w="338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130</w:t>
            </w:r>
          </w:p>
        </w:tc>
      </w:tr>
      <w:tr w:rsidR="00402B33">
        <w:tc>
          <w:tcPr>
            <w:tcW w:w="3389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E2</w:t>
            </w:r>
          </w:p>
        </w:tc>
        <w:tc>
          <w:tcPr>
            <w:tcW w:w="3389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1446.75</w:t>
            </w:r>
          </w:p>
        </w:tc>
        <w:tc>
          <w:tcPr>
            <w:tcW w:w="3389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130</w:t>
            </w:r>
          </w:p>
        </w:tc>
      </w:tr>
      <w:tr w:rsidR="00402B33">
        <w:tc>
          <w:tcPr>
            <w:tcW w:w="338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E3</w:t>
            </w:r>
          </w:p>
        </w:tc>
        <w:tc>
          <w:tcPr>
            <w:tcW w:w="338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1464.50</w:t>
            </w:r>
          </w:p>
        </w:tc>
        <w:tc>
          <w:tcPr>
            <w:tcW w:w="338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130</w:t>
            </w:r>
          </w:p>
        </w:tc>
      </w:tr>
      <w:tr w:rsidR="00402B33">
        <w:tc>
          <w:tcPr>
            <w:tcW w:w="3389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E4</w:t>
            </w:r>
          </w:p>
        </w:tc>
        <w:tc>
          <w:tcPr>
            <w:tcW w:w="3389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1482.25</w:t>
            </w:r>
          </w:p>
        </w:tc>
        <w:tc>
          <w:tcPr>
            <w:tcW w:w="3389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110</w:t>
            </w:r>
          </w:p>
        </w:tc>
      </w:tr>
    </w:tbl>
    <w:p w:rsidR="00402B33" w:rsidRDefault="00402B33">
      <w:pPr>
        <w:spacing w:after="20"/>
        <w:rPr>
          <w:rFonts w:hint="eastAsia"/>
        </w:rPr>
      </w:pPr>
    </w:p>
    <w:p w:rsidR="00402B33" w:rsidRDefault="004B566B">
      <w:pPr>
        <w:rPr>
          <w:rFonts w:hint="eastAsia"/>
        </w:rPr>
      </w:pPr>
      <w:r>
        <w:t>Total shares are 500 and one call lot is sold. Before all shares are accumulated, part of the short call is uncovered; the eventual execution screen must display that uncovered quantity explicitly.</w:t>
      </w:r>
    </w:p>
    <w:p w:rsidR="00402B33" w:rsidRDefault="004B566B">
      <w:pPr>
        <w:rPr>
          <w:rFonts w:hint="eastAsia"/>
        </w:rPr>
      </w:pPr>
      <w:r>
        <w:t xml:space="preserve">If price falls, filled </w:t>
      </w:r>
      <w:r>
        <w:t>equity tranches remain held and the call can be rolled to a later expiry. Pending ladder levels remain associated with the same strategy lifecycle.</w:t>
      </w:r>
    </w:p>
    <w:p w:rsidR="00402B33" w:rsidRDefault="004B566B">
      <w:pPr>
        <w:pStyle w:val="Heading2"/>
      </w:pPr>
      <w:r>
        <w:t>5. Futures Yield Ladder</w:t>
      </w:r>
    </w:p>
    <w:p w:rsidR="00402B33" w:rsidRDefault="004B566B">
      <w:pPr>
        <w:rPr>
          <w:rFonts w:hint="eastAsia"/>
        </w:rPr>
      </w:pPr>
      <w:r>
        <w:t>Purpose: reuse the ladder levels for future accumulation.</w:t>
      </w:r>
    </w:p>
    <w:p w:rsidR="00402B33" w:rsidRDefault="004B566B">
      <w:pPr>
        <w:rPr>
          <w:rFonts w:hint="eastAsia"/>
        </w:rPr>
      </w:pPr>
      <w:r>
        <w:t xml:space="preserve">For </w:t>
      </w:r>
      <w:r>
        <w:rPr>
          <w:rFonts w:ascii="Consolas" w:hAnsi="Consolas"/>
          <w:sz w:val="17"/>
        </w:rPr>
        <w:t>N</w:t>
      </w:r>
      <w:r>
        <w:t xml:space="preserve"> calculated ladder entries:</w:t>
      </w:r>
    </w:p>
    <w:p w:rsidR="00402B33" w:rsidRDefault="004B566B">
      <w:pPr>
        <w:pStyle w:val="ListBullet"/>
        <w:rPr>
          <w:rFonts w:hint="eastAsia"/>
        </w:rPr>
      </w:pPr>
      <w:r>
        <w:t xml:space="preserve">Sell </w:t>
      </w:r>
      <w:r>
        <w:rPr>
          <w:rFonts w:ascii="Consolas" w:hAnsi="Consolas"/>
          <w:sz w:val="17"/>
        </w:rPr>
        <w:t>N</w:t>
      </w:r>
      <w:r>
        <w:t xml:space="preserve"> call lots.</w:t>
      </w:r>
    </w:p>
    <w:p w:rsidR="00402B33" w:rsidRDefault="004B566B">
      <w:pPr>
        <w:pStyle w:val="ListBullet"/>
        <w:rPr>
          <w:rFonts w:hint="eastAsia"/>
        </w:rPr>
      </w:pPr>
      <w:r>
        <w:t xml:space="preserve">Buy one future lot at each of the </w:t>
      </w:r>
      <w:r>
        <w:rPr>
          <w:rFonts w:ascii="Consolas" w:hAnsi="Consolas"/>
          <w:sz w:val="17"/>
        </w:rPr>
        <w:t>N</w:t>
      </w:r>
      <w:r>
        <w:t xml:space="preserve"> spot-reference trigger levels.</w:t>
      </w:r>
    </w:p>
    <w:p w:rsidR="00402B33" w:rsidRDefault="004B566B">
      <w:pPr>
        <w:pStyle w:val="ListBullet"/>
        <w:rPr>
          <w:rFonts w:hint="eastAsia"/>
        </w:rPr>
      </w:pPr>
      <w:r>
        <w:t>The entry signal is evaluated using spot by default, while the actual fill and P&amp;L use the selected futures contract.</w:t>
      </w:r>
    </w:p>
    <w:p w:rsidR="00402B33" w:rsidRDefault="004B566B">
      <w:pPr>
        <w:rPr>
          <w:rFonts w:hint="eastAsia"/>
        </w:rPr>
      </w:pPr>
      <w:r>
        <w:t>This interpretation follo</w:t>
      </w:r>
      <w:r>
        <w:t>ws the requirement to sell four call lots when the formula produces four future entries. It creates uncovered short-call exposure until corresponding futures entries are filled and therefore requires an explicit risk display and live-order confirmation bef</w:t>
      </w:r>
      <w:r>
        <w:t>ore activation.</w:t>
      </w:r>
    </w:p>
    <w:p w:rsidR="00402B33" w:rsidRDefault="004B566B">
      <w:pPr>
        <w:pStyle w:val="Heading2"/>
      </w:pPr>
      <w:r>
        <w:t>6. Protected Equity Ladder</w:t>
      </w:r>
    </w:p>
    <w:p w:rsidR="00402B33" w:rsidRDefault="004B566B">
      <w:pPr>
        <w:rPr>
          <w:rFonts w:hint="eastAsia"/>
        </w:rPr>
      </w:pPr>
      <w:r>
        <w:t>Purpose: add downside protection to the Equity Yield Ladder.</w:t>
      </w:r>
    </w:p>
    <w:p w:rsidR="00402B33" w:rsidRDefault="004B566B">
      <w:pPr>
        <w:rPr>
          <w:rFonts w:hint="eastAsia"/>
        </w:rPr>
      </w:pPr>
      <w:r>
        <w:t>Structure:</w:t>
      </w:r>
    </w:p>
    <w:p w:rsidR="00402B33" w:rsidRDefault="004B566B">
      <w:pPr>
        <w:pStyle w:val="ListBullet"/>
        <w:rPr>
          <w:rFonts w:hint="eastAsia"/>
        </w:rPr>
      </w:pPr>
      <w:r>
        <w:lastRenderedPageBreak/>
        <w:t>Accumulate one lot-size equivalent of equity using the same ladder.</w:t>
      </w:r>
    </w:p>
    <w:p w:rsidR="00402B33" w:rsidRDefault="004B566B">
      <w:pPr>
        <w:pStyle w:val="ListBullet"/>
        <w:rPr>
          <w:rFonts w:hint="eastAsia"/>
        </w:rPr>
      </w:pPr>
      <w:r>
        <w:t>Sell one call lot.</w:t>
      </w:r>
    </w:p>
    <w:p w:rsidR="00402B33" w:rsidRDefault="004B566B">
      <w:pPr>
        <w:pStyle w:val="ListBullet"/>
        <w:rPr>
          <w:rFonts w:hint="eastAsia"/>
        </w:rPr>
      </w:pPr>
      <w:r>
        <w:t>Buy one protective put lot using an independently sele</w:t>
      </w:r>
      <w:r>
        <w:t>cted strike and expiry.</w:t>
      </w:r>
    </w:p>
    <w:p w:rsidR="00402B33" w:rsidRDefault="004B566B">
      <w:pPr>
        <w:rPr>
          <w:rFonts w:hint="eastAsia"/>
        </w:rPr>
      </w:pPr>
      <w:r>
        <w:t>The page reports call premium income, put premium cost, and net option credit. The put protects downside but reduces the strategy credit.</w:t>
      </w:r>
    </w:p>
    <w:p w:rsidR="00402B33" w:rsidRDefault="004B566B">
      <w:pPr>
        <w:pStyle w:val="Heading2"/>
      </w:pPr>
      <w:r>
        <w:t>7. Rolling Future Income Ladder</w:t>
      </w:r>
    </w:p>
    <w:p w:rsidR="00402B33" w:rsidRDefault="004B566B">
      <w:pPr>
        <w:rPr>
          <w:rFonts w:hint="eastAsia"/>
        </w:rPr>
      </w:pPr>
      <w:r>
        <w:t xml:space="preserve">Purpose: accumulate long futures at spot-based ladder levels, </w:t>
      </w:r>
      <w:r>
        <w:t>protect every filled</w:t>
      </w:r>
    </w:p>
    <w:p w:rsidR="00402B33" w:rsidRDefault="004B566B">
      <w:pPr>
        <w:rPr>
          <w:rFonts w:hint="eastAsia"/>
        </w:rPr>
      </w:pPr>
      <w:r>
        <w:t>future with a long put, and finance the basket with short calls across monthly</w:t>
      </w:r>
    </w:p>
    <w:p w:rsidR="00402B33" w:rsidRDefault="004B566B">
      <w:pPr>
        <w:rPr>
          <w:rFonts w:hint="eastAsia"/>
        </w:rPr>
      </w:pPr>
      <w:r>
        <w:t>rollovers.</w:t>
      </w:r>
    </w:p>
    <w:p w:rsidR="00402B33" w:rsidRDefault="004B566B">
      <w:pPr>
        <w:rPr>
          <w:rFonts w:hint="eastAsia"/>
        </w:rPr>
      </w:pPr>
      <w:r>
        <w:t>Default structure:</w:t>
      </w:r>
    </w:p>
    <w:p w:rsidR="00402B33" w:rsidRDefault="004B566B">
      <w:pPr>
        <w:pStyle w:val="ListBullet"/>
        <w:rPr>
          <w:rFonts w:hint="eastAsia"/>
        </w:rPr>
      </w:pPr>
      <w:r>
        <w:t>Five planned spot-reference entries between the starting spot and call strike.</w:t>
      </w:r>
    </w:p>
    <w:p w:rsidR="00402B33" w:rsidRDefault="004B566B">
      <w:pPr>
        <w:pStyle w:val="ListBullet"/>
        <w:rPr>
          <w:rFonts w:hint="eastAsia"/>
        </w:rPr>
      </w:pPr>
      <w:r>
        <w:t xml:space="preserve">On the first expiry, sell one </w:t>
      </w:r>
      <w:r>
        <w:rPr>
          <w:rFonts w:ascii="Consolas" w:hAnsi="Consolas"/>
          <w:sz w:val="17"/>
        </w:rPr>
        <w:t>0.30</w:t>
      </w:r>
      <w:r>
        <w:t>-delta call l</w:t>
      </w:r>
      <w:r>
        <w:t>ot for every planned entry.</w:t>
      </w:r>
    </w:p>
    <w:p w:rsidR="00402B33" w:rsidRDefault="004B566B">
      <w:pPr>
        <w:pStyle w:val="ListBullet"/>
        <w:rPr>
          <w:rFonts w:hint="eastAsia"/>
        </w:rPr>
      </w:pPr>
      <w:r>
        <w:t xml:space="preserve">When entry </w:t>
      </w:r>
      <w:r>
        <w:rPr>
          <w:rFonts w:ascii="Consolas" w:hAnsi="Consolas"/>
          <w:sz w:val="17"/>
        </w:rPr>
        <w:t>n</w:t>
      </w:r>
      <w:r>
        <w:t xml:space="preserve"> is reached, buy one future lot and one protective put lot for that tranche.</w:t>
      </w:r>
    </w:p>
    <w:p w:rsidR="00402B33" w:rsidRDefault="004B566B">
      <w:pPr>
        <w:pStyle w:val="ListBullet"/>
        <w:rPr>
          <w:rFonts w:hint="eastAsia"/>
        </w:rPr>
      </w:pPr>
      <w:r>
        <w:t>A crossed trigger counts as filled; the spot does not have to print the exact price.</w:t>
      </w:r>
    </w:p>
    <w:p w:rsidR="00402B33" w:rsidRDefault="004B566B">
      <w:pPr>
        <w:pStyle w:val="ListBullet"/>
        <w:rPr>
          <w:rFonts w:hint="eastAsia"/>
        </w:rPr>
      </w:pPr>
      <w:r>
        <w:t>All legs are positional and are never squared off mere</w:t>
      </w:r>
      <w:r>
        <w:t>ly because the day ended.</w:t>
      </w:r>
    </w:p>
    <w:p w:rsidR="00402B33" w:rsidRDefault="004B566B">
      <w:pPr>
        <w:rPr>
          <w:rFonts w:hint="eastAsia"/>
        </w:rPr>
      </w:pPr>
      <w:r>
        <w:t>Rollover:</w:t>
      </w:r>
    </w:p>
    <w:p w:rsidR="00402B33" w:rsidRDefault="004B566B">
      <w:pPr>
        <w:pStyle w:val="ListBullet"/>
        <w:rPr>
          <w:rFonts w:hint="eastAsia"/>
        </w:rPr>
      </w:pPr>
      <w:r>
        <w:t>At 15:20 on expiry day, close the current-expiry contracts using fresh WebSocket prices.</w:t>
      </w:r>
    </w:p>
    <w:p w:rsidR="00402B33" w:rsidRDefault="004B566B">
      <w:pPr>
        <w:pStyle w:val="ListBullet"/>
        <w:rPr>
          <w:rFonts w:hint="eastAsia"/>
        </w:rPr>
      </w:pPr>
      <w:r>
        <w:t>Roll only the tranches whose futures have actually filled: each becomes one future,</w:t>
      </w:r>
    </w:p>
    <w:p w:rsidR="00402B33" w:rsidRDefault="004B566B">
      <w:pPr>
        <w:rPr>
          <w:rFonts w:hint="eastAsia"/>
        </w:rPr>
      </w:pPr>
      <w:r>
        <w:t>one put, and one short call in the next availab</w:t>
      </w:r>
      <w:r>
        <w:t>le expiry.</w:t>
      </w:r>
    </w:p>
    <w:p w:rsidR="00402B33" w:rsidRDefault="004B566B">
      <w:pPr>
        <w:pStyle w:val="ListBullet"/>
        <w:rPr>
          <w:rFonts w:hint="eastAsia"/>
        </w:rPr>
      </w:pPr>
      <w:r>
        <w:t>Unfilled ladder levels remain pending. If one later triggers, its future, put, and</w:t>
      </w:r>
    </w:p>
    <w:p w:rsidR="00402B33" w:rsidRDefault="004B566B">
      <w:pPr>
        <w:rPr>
          <w:rFonts w:hint="eastAsia"/>
        </w:rPr>
      </w:pPr>
      <w:r>
        <w:t>short call are opened in the then-current expiry.</w:t>
      </w:r>
    </w:p>
    <w:p w:rsidR="00402B33" w:rsidRDefault="004B566B">
      <w:pPr>
        <w:pStyle w:val="ListBullet"/>
        <w:rPr>
          <w:rFonts w:hint="eastAsia"/>
        </w:rPr>
      </w:pPr>
      <w:r>
        <w:t>Every rollover generation is stored as new legs. Old contracts, fills, P&amp;L, and</w:t>
      </w:r>
    </w:p>
    <w:p w:rsidR="00402B33" w:rsidRDefault="004B566B">
      <w:pPr>
        <w:rPr>
          <w:rFonts w:hint="eastAsia"/>
        </w:rPr>
      </w:pPr>
      <w:r>
        <w:t xml:space="preserve">timestamps remain in the </w:t>
      </w:r>
      <w:r>
        <w:t>database and analysis log.</w:t>
      </w:r>
    </w:p>
    <w:p w:rsidR="00402B33" w:rsidRDefault="004B566B">
      <w:pPr>
        <w:rPr>
          <w:rFonts w:hint="eastAsia"/>
        </w:rPr>
      </w:pPr>
      <w:r>
        <w:t>Completion:</w:t>
      </w:r>
    </w:p>
    <w:p w:rsidR="00402B33" w:rsidRDefault="004B566B">
      <w:pPr>
        <w:pStyle w:val="ListBullet"/>
        <w:rPr>
          <w:rFonts w:hint="eastAsia"/>
        </w:rPr>
      </w:pPr>
      <w:r>
        <w:t>All planned future entries must be filled.</w:t>
      </w:r>
    </w:p>
    <w:p w:rsidR="00402B33" w:rsidRDefault="004B566B">
      <w:pPr>
        <w:pStyle w:val="ListBullet"/>
        <w:rPr>
          <w:rFonts w:hint="eastAsia"/>
        </w:rPr>
      </w:pPr>
      <w:r>
        <w:t>Spot must reach or cross the configured call strike.</w:t>
      </w:r>
    </w:p>
    <w:p w:rsidR="00402B33" w:rsidRDefault="004B566B">
      <w:pPr>
        <w:pStyle w:val="ListBullet"/>
        <w:rPr>
          <w:rFonts w:hint="eastAsia"/>
        </w:rPr>
      </w:pPr>
      <w:r>
        <w:t>Combined realized plus unrealized basket P&amp;L must be positive.</w:t>
      </w:r>
    </w:p>
    <w:p w:rsidR="00402B33" w:rsidRDefault="004B566B">
      <w:pPr>
        <w:pStyle w:val="ListBullet"/>
        <w:rPr>
          <w:rFonts w:hint="eastAsia"/>
        </w:rPr>
      </w:pPr>
      <w:r>
        <w:t xml:space="preserve">When all three conditions hold, all open futures, puts, </w:t>
      </w:r>
      <w:r>
        <w:t>and calls are closed and</w:t>
      </w:r>
    </w:p>
    <w:p w:rsidR="00402B33" w:rsidRDefault="004B566B">
      <w:pPr>
        <w:rPr>
          <w:rFonts w:hint="eastAsia"/>
        </w:rPr>
      </w:pPr>
      <w:r>
        <w:t>the strategy is completed. Otherwise it continues into the next expiry.</w:t>
      </w:r>
    </w:p>
    <w:p w:rsidR="00402B33" w:rsidRDefault="004B566B">
      <w:pPr>
        <w:rPr>
          <w:rFonts w:hint="eastAsia"/>
        </w:rPr>
      </w:pPr>
      <w:r>
        <w:t>The Target Delta field documents how the call was selected. The current paper</w:t>
      </w:r>
    </w:p>
    <w:p w:rsidR="00402B33" w:rsidRDefault="004B566B">
      <w:pPr>
        <w:rPr>
          <w:rFonts w:hint="eastAsia"/>
        </w:rPr>
      </w:pPr>
      <w:r>
        <w:t>release uses the exact call strike and premium entered in the setup; it does not</w:t>
      </w:r>
    </w:p>
    <w:p w:rsidR="00402B33" w:rsidRDefault="004B566B">
      <w:pPr>
        <w:rPr>
          <w:rFonts w:hint="eastAsia"/>
        </w:rPr>
      </w:pPr>
      <w:r>
        <w:t xml:space="preserve">silently estimate option delta from strike distance. Re-select the live </w:t>
      </w:r>
      <w:r>
        <w:rPr>
          <w:rFonts w:ascii="Consolas" w:hAnsi="Consolas"/>
          <w:sz w:val="17"/>
        </w:rPr>
        <w:t>0.30</w:t>
      </w:r>
    </w:p>
    <w:p w:rsidR="00402B33" w:rsidRDefault="004B566B">
      <w:pPr>
        <w:rPr>
          <w:rFonts w:hint="eastAsia"/>
        </w:rPr>
      </w:pPr>
      <w:r>
        <w:t>delta contract when creating the setup.</w:t>
      </w:r>
    </w:p>
    <w:p w:rsidR="00402B33" w:rsidRDefault="004B566B">
      <w:pPr>
        <w:pStyle w:val="Heading2"/>
      </w:pPr>
      <w:r>
        <w:t>Contract and Data Rules</w:t>
      </w:r>
    </w:p>
    <w:p w:rsidR="00402B33" w:rsidRDefault="004B566B">
      <w:pPr>
        <w:pStyle w:val="ListNumber"/>
        <w:rPr>
          <w:rFonts w:hint="eastAsia"/>
        </w:rPr>
      </w:pPr>
      <w:r>
        <w:t>Equity symbols come from the NSE/BSE security master.</w:t>
      </w:r>
    </w:p>
    <w:p w:rsidR="00402B33" w:rsidRDefault="004B566B">
      <w:pPr>
        <w:pStyle w:val="ListNumber"/>
        <w:rPr>
          <w:rFonts w:hint="eastAsia"/>
        </w:rPr>
      </w:pPr>
      <w:r>
        <w:t>Overlay and ladder symbols must be F&amp;O-eligible before execut</w:t>
      </w:r>
      <w:r>
        <w:t>ion is enabled.</w:t>
      </w:r>
    </w:p>
    <w:p w:rsidR="00402B33" w:rsidRDefault="004B566B">
      <w:pPr>
        <w:pStyle w:val="ListNumber"/>
        <w:rPr>
          <w:rFonts w:hint="eastAsia"/>
        </w:rPr>
      </w:pPr>
      <w:r>
        <w:t>Lot sizes, expiries, strikes, tick sizes, and security IDs come from the refreshed Dhan master file.</w:t>
      </w:r>
    </w:p>
    <w:p w:rsidR="00402B33" w:rsidRDefault="004B566B">
      <w:pPr>
        <w:pStyle w:val="ListNumber"/>
        <w:rPr>
          <w:rFonts w:hint="eastAsia"/>
        </w:rPr>
      </w:pPr>
      <w:r>
        <w:t>Relative strikes are resolved when the setup is activated and again on rollover.</w:t>
      </w:r>
    </w:p>
    <w:p w:rsidR="00402B33" w:rsidRDefault="004B566B">
      <w:pPr>
        <w:pStyle w:val="ListNumber"/>
        <w:rPr>
          <w:rFonts w:hint="eastAsia"/>
        </w:rPr>
      </w:pPr>
      <w:r>
        <w:t>Every resolved leg is persisted with its exact contract id</w:t>
      </w:r>
      <w:r>
        <w:t>entity.</w:t>
      </w:r>
    </w:p>
    <w:p w:rsidR="00402B33" w:rsidRDefault="004B566B">
      <w:pPr>
        <w:pStyle w:val="ListNumber"/>
        <w:rPr>
          <w:rFonts w:hint="eastAsia"/>
        </w:rPr>
      </w:pPr>
      <w:r>
        <w:t>Every active leg must be subscribed to the WebSocket after creation and after a backend restart.</w:t>
      </w:r>
    </w:p>
    <w:p w:rsidR="00402B33" w:rsidRDefault="004B566B">
      <w:pPr>
        <w:pStyle w:val="Heading2"/>
      </w:pPr>
      <w:r>
        <w:t>Paper Execution Rules</w:t>
      </w:r>
    </w:p>
    <w:p w:rsidR="00402B33" w:rsidRDefault="004B566B">
      <w:pPr>
        <w:pStyle w:val="ListNumber"/>
        <w:rPr>
          <w:rFonts w:hint="eastAsia"/>
        </w:rPr>
      </w:pPr>
      <w:r>
        <w:t>Every required leg must have a WebSocket tick no older than 30 seconds before a grouped entry or exit is recorded.</w:t>
      </w:r>
    </w:p>
    <w:p w:rsidR="00402B33" w:rsidRDefault="004B566B">
      <w:pPr>
        <w:pStyle w:val="ListNumber"/>
        <w:rPr>
          <w:rFonts w:hint="eastAsia"/>
        </w:rPr>
      </w:pPr>
      <w:r>
        <w:t>Equity and fut</w:t>
      </w:r>
      <w:r>
        <w:t>ures overlays enter all configured legs together after the spot trigger. Spot SL or target closes the complete grouped strategy.</w:t>
      </w:r>
    </w:p>
    <w:p w:rsidR="00402B33" w:rsidRDefault="004B566B">
      <w:pPr>
        <w:pStyle w:val="ListNumber"/>
        <w:rPr>
          <w:rFonts w:hint="eastAsia"/>
        </w:rPr>
      </w:pPr>
      <w:r>
        <w:t>Every Demand &amp; Supply strategy is positional. There is no end-of-day square-off; positions remain open across trading days unti</w:t>
      </w:r>
      <w:r>
        <w:t>l spot SL, spot target, or manual exit.</w:t>
      </w:r>
    </w:p>
    <w:p w:rsidR="00402B33" w:rsidRDefault="004B566B">
      <w:pPr>
        <w:pStyle w:val="ListNumber"/>
        <w:rPr>
          <w:rFonts w:hint="eastAsia"/>
        </w:rPr>
      </w:pPr>
      <w:r>
        <w:lastRenderedPageBreak/>
        <w:t>Ladder option legs open together once their feeds are fresh. Equity or future base legs then fill progressively when spot reaches each ladder trigger.</w:t>
      </w:r>
    </w:p>
    <w:p w:rsidR="00402B33" w:rsidRDefault="004B566B">
      <w:pPr>
        <w:pStyle w:val="ListNumber"/>
        <w:rPr>
          <w:rFonts w:hint="eastAsia"/>
        </w:rPr>
      </w:pPr>
      <w:r>
        <w:t>Equity and standard futures ladders remain open until manual exit</w:t>
      </w:r>
      <w:r>
        <w:t>. Automatic expiry rollover applies only to the Rolling Future Income Ladder and follows its separately documented tranche rules.</w:t>
      </w:r>
    </w:p>
    <w:p w:rsidR="00402B33" w:rsidRDefault="004B566B">
      <w:pPr>
        <w:pStyle w:val="ListNumber"/>
        <w:rPr>
          <w:rFonts w:hint="eastAsia"/>
        </w:rPr>
      </w:pPr>
      <w:r>
        <w:t>Strategy P&amp;L is the sum of every leg. Open legs use fresh LTP; closed legs use persisted exit price. P&amp;L is gross and excludes</w:t>
      </w:r>
      <w:r>
        <w:t xml:space="preserve"> brokerage, taxes, and slippage.</w:t>
      </w:r>
    </w:p>
    <w:p w:rsidR="00402B33" w:rsidRDefault="004B566B">
      <w:pPr>
        <w:pStyle w:val="ListNumber"/>
        <w:rPr>
          <w:rFonts w:hint="eastAsia"/>
        </w:rPr>
      </w:pPr>
      <w:r>
        <w:t>Pausing is permitted only before entry. A running position cannot be paused because SL/target monitoring must remain active continuously.</w:t>
      </w:r>
    </w:p>
    <w:p w:rsidR="00402B33" w:rsidRDefault="004B566B">
      <w:pPr>
        <w:pStyle w:val="ListNumber"/>
        <w:rPr>
          <w:rFonts w:hint="eastAsia"/>
        </w:rPr>
      </w:pPr>
      <w:r>
        <w:t>A backend restart reloads active strategies and resubscribes every non-closed leg. Th</w:t>
      </w:r>
      <w:r>
        <w:t>e browser may be closed without stopping paper execution.</w:t>
      </w:r>
    </w:p>
    <w:p w:rsidR="00402B33" w:rsidRDefault="004B566B">
      <w:pPr>
        <w:pStyle w:val="Heading2"/>
      </w:pPr>
      <w:r>
        <w:t>Persistence</w:t>
      </w:r>
    </w:p>
    <w:p w:rsidR="00402B33" w:rsidRDefault="004B566B">
      <w:pPr>
        <w:rPr>
          <w:rFonts w:hint="eastAsia"/>
        </w:rPr>
      </w:pPr>
      <w:r>
        <w:t xml:space="preserve">The module uses </w:t>
      </w:r>
      <w:r>
        <w:rPr>
          <w:rFonts w:ascii="Consolas" w:hAnsi="Consolas"/>
          <w:sz w:val="17"/>
        </w:rPr>
        <w:t>data/demand_supply.db</w:t>
      </w:r>
      <w:r>
        <w:t xml:space="preserve">, separate from the existing trading and backtesting databases. Strategy setups, legs, events, daily performance, peak P&amp;L, and drawdown survive </w:t>
      </w:r>
      <w:r>
        <w:t>restarts, while database files, credentials, tokens, market data, and generated reports remain excluded from Git.</w:t>
      </w:r>
    </w:p>
    <w:p w:rsidR="00402B33" w:rsidRDefault="004B566B">
      <w:pPr>
        <w:pStyle w:val="Heading2"/>
      </w:pPr>
      <w:r>
        <w:t>Market-View Combination Guide</w:t>
      </w:r>
    </w:p>
    <w:p w:rsidR="00402B33" w:rsidRDefault="004B566B">
      <w:pPr>
        <w:pStyle w:val="Heading3"/>
      </w:pPr>
      <w:r>
        <w:t>Bullish</w:t>
      </w:r>
    </w:p>
    <w:tbl>
      <w:tblPr>
        <w:tblStyle w:val="TableGrid"/>
        <w:tblW w:w="0" w:type="auto"/>
        <w:tblLook w:val="04A0"/>
      </w:tblPr>
      <w:tblGrid>
        <w:gridCol w:w="2541"/>
        <w:gridCol w:w="2541"/>
        <w:gridCol w:w="2541"/>
        <w:gridCol w:w="2541"/>
      </w:tblGrid>
      <w:tr w:rsidR="00402B33">
        <w:tc>
          <w:tcPr>
            <w:tcW w:w="2541" w:type="dxa"/>
            <w:shd w:val="clear" w:color="auto" w:fill="146C7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Structure</w:t>
            </w:r>
          </w:p>
        </w:tc>
        <w:tc>
          <w:tcPr>
            <w:tcW w:w="2541" w:type="dxa"/>
            <w:shd w:val="clear" w:color="auto" w:fill="146C7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Legs</w:t>
            </w:r>
          </w:p>
        </w:tc>
        <w:tc>
          <w:tcPr>
            <w:tcW w:w="2541" w:type="dxa"/>
            <w:shd w:val="clear" w:color="auto" w:fill="146C7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Best fit</w:t>
            </w:r>
          </w:p>
        </w:tc>
        <w:tc>
          <w:tcPr>
            <w:tcW w:w="2541" w:type="dxa"/>
            <w:shd w:val="clear" w:color="auto" w:fill="146C7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Main risk</w:t>
            </w:r>
          </w:p>
        </w:tc>
      </w:tr>
      <w:tr w:rsidR="00402B33"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Pure Equity Long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Buy equity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Strong directional demand setup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Full equi</w:t>
            </w:r>
            <w:r>
              <w:rPr>
                <w:sz w:val="16"/>
              </w:rPr>
              <w:t>ty downside</w:t>
            </w:r>
          </w:p>
        </w:tc>
      </w:tr>
      <w:tr w:rsidR="00402B33"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Protective Put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Buy equity + buy PE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Bullish with crash protection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Put premium decay</w:t>
            </w:r>
          </w:p>
        </w:tc>
      </w:tr>
      <w:tr w:rsidR="00402B33"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Bullish Put Income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Buy equity + sell PE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Strong bullish conviction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Downside exposure is increased</w:t>
            </w:r>
          </w:p>
        </w:tc>
      </w:tr>
      <w:tr w:rsidR="00402B33"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Long Future Shield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Buy future + buy PE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Leveraged bullish view</w:t>
            </w:r>
            <w:r>
              <w:rPr>
                <w:sz w:val="16"/>
              </w:rPr>
              <w:t xml:space="preserve"> with floor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Basis and option cost</w:t>
            </w:r>
          </w:p>
        </w:tc>
      </w:tr>
      <w:tr w:rsidR="00402B33"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Equity Yield Ladder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Staged equity + short CE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Gradual bullish accumulation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Short call is partly uncovered during accumulation</w:t>
            </w:r>
          </w:p>
        </w:tc>
      </w:tr>
      <w:tr w:rsidR="00402B33"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Protected Equity Ladder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Staged equity + short CE + long PE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Gradual bullish accumulation with pr</w:t>
            </w:r>
            <w:r>
              <w:rPr>
                <w:sz w:val="16"/>
              </w:rPr>
              <w:t>otection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Reduced credit and rollover cost</w:t>
            </w:r>
          </w:p>
        </w:tc>
      </w:tr>
      <w:tr w:rsidR="00402B33"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Rolling Future Income Ladder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Staged futures + long PE + short CE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Multi-expiry bullish accumulation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Initial calls can be partly uncovered until triggers fill</w:t>
            </w:r>
          </w:p>
        </w:tc>
      </w:tr>
    </w:tbl>
    <w:p w:rsidR="00402B33" w:rsidRDefault="00402B33">
      <w:pPr>
        <w:spacing w:after="20"/>
        <w:rPr>
          <w:rFonts w:hint="eastAsia"/>
        </w:rPr>
      </w:pPr>
    </w:p>
    <w:p w:rsidR="00402B33" w:rsidRDefault="004B566B">
      <w:pPr>
        <w:pStyle w:val="Heading3"/>
      </w:pPr>
      <w:r>
        <w:t>Bearish</w:t>
      </w:r>
    </w:p>
    <w:tbl>
      <w:tblPr>
        <w:tblStyle w:val="TableGrid"/>
        <w:tblW w:w="0" w:type="auto"/>
        <w:tblLook w:val="04A0"/>
      </w:tblPr>
      <w:tblGrid>
        <w:gridCol w:w="2541"/>
        <w:gridCol w:w="2541"/>
        <w:gridCol w:w="2541"/>
        <w:gridCol w:w="2541"/>
      </w:tblGrid>
      <w:tr w:rsidR="00402B33">
        <w:tc>
          <w:tcPr>
            <w:tcW w:w="2541" w:type="dxa"/>
            <w:shd w:val="clear" w:color="auto" w:fill="146C7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Structure</w:t>
            </w:r>
          </w:p>
        </w:tc>
        <w:tc>
          <w:tcPr>
            <w:tcW w:w="2541" w:type="dxa"/>
            <w:shd w:val="clear" w:color="auto" w:fill="146C7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Legs</w:t>
            </w:r>
          </w:p>
        </w:tc>
        <w:tc>
          <w:tcPr>
            <w:tcW w:w="2541" w:type="dxa"/>
            <w:shd w:val="clear" w:color="auto" w:fill="146C7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Best fit</w:t>
            </w:r>
          </w:p>
        </w:tc>
        <w:tc>
          <w:tcPr>
            <w:tcW w:w="2541" w:type="dxa"/>
            <w:shd w:val="clear" w:color="auto" w:fill="146C7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Main risk</w:t>
            </w:r>
          </w:p>
        </w:tc>
      </w:tr>
      <w:tr w:rsidR="00402B33"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Pure Equity</w:t>
            </w:r>
            <w:r>
              <w:rPr>
                <w:sz w:val="16"/>
              </w:rPr>
              <w:t xml:space="preserve"> Short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Sell equity positionally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Supply rejection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Unlimited upside risk without a hard SL</w:t>
            </w:r>
          </w:p>
        </w:tc>
      </w:tr>
      <w:tr w:rsidR="00402B33"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Bearish Protective Call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Sell equity + buy CE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Bearish with capped upside risk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Call premium decay</w:t>
            </w:r>
          </w:p>
        </w:tc>
      </w:tr>
      <w:tr w:rsidR="00402B33"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Covered Put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Sell equity/future + sell PE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Moderately bearish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Profit is</w:t>
            </w:r>
            <w:r>
              <w:rPr>
                <w:sz w:val="16"/>
              </w:rPr>
              <w:t xml:space="preserve"> capped below the put strike</w:t>
            </w:r>
          </w:p>
        </w:tc>
      </w:tr>
      <w:tr w:rsidR="00402B33"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Short Future Shield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Sell future + buy CE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Leveraged bearish view with protection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Basis and option cost</w:t>
            </w:r>
          </w:p>
        </w:tc>
      </w:tr>
      <w:tr w:rsidR="00402B33"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Reverse Future Collar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Sell future + buy CE + sell PE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Moderately bearish with reduced hedge cost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Short put limits downside p</w:t>
            </w:r>
            <w:r>
              <w:rPr>
                <w:sz w:val="16"/>
              </w:rPr>
              <w:t>rofit</w:t>
            </w:r>
          </w:p>
        </w:tc>
      </w:tr>
    </w:tbl>
    <w:p w:rsidR="00402B33" w:rsidRDefault="00402B33">
      <w:pPr>
        <w:spacing w:after="20"/>
        <w:rPr>
          <w:rFonts w:hint="eastAsia"/>
        </w:rPr>
      </w:pPr>
    </w:p>
    <w:p w:rsidR="00402B33" w:rsidRDefault="004B566B">
      <w:pPr>
        <w:pStyle w:val="Heading3"/>
      </w:pPr>
      <w:r>
        <w:lastRenderedPageBreak/>
        <w:t>Sideways or Mildly Bullish</w:t>
      </w:r>
    </w:p>
    <w:tbl>
      <w:tblPr>
        <w:tblStyle w:val="TableGrid"/>
        <w:tblW w:w="0" w:type="auto"/>
        <w:tblLook w:val="04A0"/>
      </w:tblPr>
      <w:tblGrid>
        <w:gridCol w:w="2541"/>
        <w:gridCol w:w="2541"/>
        <w:gridCol w:w="2541"/>
        <w:gridCol w:w="2541"/>
      </w:tblGrid>
      <w:tr w:rsidR="00402B33">
        <w:tc>
          <w:tcPr>
            <w:tcW w:w="2541" w:type="dxa"/>
            <w:shd w:val="clear" w:color="auto" w:fill="146C7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Structure</w:t>
            </w:r>
          </w:p>
        </w:tc>
        <w:tc>
          <w:tcPr>
            <w:tcW w:w="2541" w:type="dxa"/>
            <w:shd w:val="clear" w:color="auto" w:fill="146C7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Legs</w:t>
            </w:r>
          </w:p>
        </w:tc>
        <w:tc>
          <w:tcPr>
            <w:tcW w:w="2541" w:type="dxa"/>
            <w:shd w:val="clear" w:color="auto" w:fill="146C7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Best fit</w:t>
            </w:r>
          </w:p>
        </w:tc>
        <w:tc>
          <w:tcPr>
            <w:tcW w:w="2541" w:type="dxa"/>
            <w:shd w:val="clear" w:color="auto" w:fill="146C7E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Main risk</w:t>
            </w:r>
          </w:p>
        </w:tc>
      </w:tr>
      <w:tr w:rsidR="00402B33"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Covered Call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Buy equity + sell OTM CE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Sideways to mildly bullish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Upside is capped; equity downside remains</w:t>
            </w:r>
          </w:p>
        </w:tc>
      </w:tr>
      <w:tr w:rsidR="00402B33"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Collar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Buy equity + sell OTM CE + buy OTM PE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 xml:space="preserve">Range-bound with defined </w:t>
            </w:r>
            <w:r>
              <w:rPr>
                <w:sz w:val="16"/>
              </w:rPr>
              <w:t>protection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Both upside and downside are bounded</w:t>
            </w:r>
          </w:p>
        </w:tc>
      </w:tr>
      <w:tr w:rsidR="00402B33"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Long Future Covered Call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Buy future + sell OTM CE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Sideways to mildly bullish</w:t>
            </w:r>
          </w:p>
        </w:tc>
        <w:tc>
          <w:tcPr>
            <w:tcW w:w="25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Leveraged downside remains</w:t>
            </w:r>
          </w:p>
        </w:tc>
      </w:tr>
      <w:tr w:rsidR="00402B33"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Future Collar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Buy future + sell OTM CE + buy OTM PE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>Range-bound leveraged position</w:t>
            </w:r>
          </w:p>
        </w:tc>
        <w:tc>
          <w:tcPr>
            <w:tcW w:w="2541" w:type="dxa"/>
            <w:shd w:val="clear" w:color="auto" w:fill="F4F8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402B33" w:rsidRDefault="004B566B">
            <w:pPr>
              <w:rPr>
                <w:rFonts w:hint="eastAsia"/>
              </w:rPr>
            </w:pPr>
            <w:r>
              <w:rPr>
                <w:sz w:val="16"/>
              </w:rPr>
              <w:t xml:space="preserve">Expiry and basis </w:t>
            </w:r>
            <w:r>
              <w:rPr>
                <w:sz w:val="16"/>
              </w:rPr>
              <w:t>mismatch</w:t>
            </w:r>
          </w:p>
        </w:tc>
      </w:tr>
    </w:tbl>
    <w:p w:rsidR="00402B33" w:rsidRDefault="00402B33">
      <w:pPr>
        <w:spacing w:after="20"/>
        <w:rPr>
          <w:rFonts w:hint="eastAsia"/>
        </w:rPr>
      </w:pPr>
    </w:p>
    <w:p w:rsidR="00402B33" w:rsidRDefault="004B566B">
      <w:pPr>
        <w:pStyle w:val="Heading3"/>
      </w:pPr>
      <w:r>
        <w:t>Volatile or Uncertain</w:t>
      </w:r>
    </w:p>
    <w:p w:rsidR="00402B33" w:rsidRDefault="004B566B">
      <w:pPr>
        <w:rPr>
          <w:rFonts w:hint="eastAsia"/>
        </w:rPr>
      </w:pPr>
      <w:r>
        <w:t>The first release does not include a standalone long straddle/strangle preset because these structures do not contain an equity or future anchor. They can be added later as a dedicated Options-Only template. For the current</w:t>
      </w:r>
      <w:r>
        <w:t xml:space="preserve"> templates, use Protective Put, Future Shield, Collar, or Reverse Collar when protection matters more than premium income.</w:t>
      </w:r>
    </w:p>
    <w:p w:rsidR="00402B33" w:rsidRDefault="004B566B">
      <w:pPr>
        <w:pStyle w:val="Heading2"/>
      </w:pPr>
      <w:r>
        <w:t>MARUTI Sample Catalogue</w:t>
      </w:r>
    </w:p>
    <w:p w:rsidR="00402B33" w:rsidRDefault="004B566B">
      <w:pPr>
        <w:rPr>
          <w:rFonts w:hint="eastAsia"/>
        </w:rPr>
      </w:pPr>
      <w:r>
        <w:t>The repeatable sample command is:</w:t>
      </w:r>
    </w:p>
    <w:p w:rsidR="00402B33" w:rsidRDefault="004B566B">
      <w:pPr>
        <w:spacing w:before="60" w:after="120"/>
        <w:ind w:left="259" w:right="259"/>
        <w:rPr>
          <w:rFonts w:hint="eastAsia"/>
        </w:rPr>
      </w:pPr>
      <w:r>
        <w:rPr>
          <w:rFonts w:ascii="Consolas" w:hAnsi="Consolas"/>
          <w:sz w:val="16"/>
          <w:shd w:val="clear" w:color="auto" w:fill="F1F4F5"/>
        </w:rPr>
        <w:t>python scripts/seed_demand_supply_samples.py</w:t>
      </w:r>
    </w:p>
    <w:p w:rsidR="00402B33" w:rsidRDefault="004B566B">
      <w:pPr>
        <w:rPr>
          <w:rFonts w:hint="eastAsia"/>
        </w:rPr>
      </w:pPr>
      <w:r>
        <w:t xml:space="preserve">Use </w:t>
      </w:r>
      <w:r>
        <w:rPr>
          <w:rFonts w:ascii="Consolas" w:hAnsi="Consolas"/>
          <w:sz w:val="17"/>
        </w:rPr>
        <w:t>--replace</w:t>
      </w:r>
      <w:r>
        <w:t xml:space="preserve"> to refresh only </w:t>
      </w:r>
      <w:r>
        <w:t xml:space="preserve">records whose names start with the fixed </w:t>
      </w:r>
      <w:r>
        <w:rPr>
          <w:rFonts w:ascii="Consolas" w:hAnsi="Consolas"/>
          <w:sz w:val="17"/>
        </w:rPr>
        <w:t>SAMPLE MARUTI</w:t>
      </w:r>
      <w:r>
        <w:t xml:space="preserve"> catalogue. It never activates a setup. The server sample snapshot uses:</w:t>
      </w:r>
    </w:p>
    <w:p w:rsidR="00402B33" w:rsidRDefault="004B566B">
      <w:pPr>
        <w:pStyle w:val="ListBullet"/>
        <w:rPr>
          <w:rFonts w:hint="eastAsia"/>
        </w:rPr>
      </w:pPr>
      <w:r>
        <w:t xml:space="preserve">Spot reference: </w:t>
      </w:r>
      <w:r>
        <w:rPr>
          <w:rFonts w:ascii="Consolas" w:hAnsi="Consolas"/>
          <w:sz w:val="17"/>
        </w:rPr>
        <w:t>13,811</w:t>
      </w:r>
    </w:p>
    <w:p w:rsidR="00402B33" w:rsidRDefault="004B566B">
      <w:pPr>
        <w:pStyle w:val="ListBullet"/>
        <w:rPr>
          <w:rFonts w:hint="eastAsia"/>
        </w:rPr>
      </w:pPr>
      <w:r>
        <w:t xml:space="preserve">Current expiry: </w:t>
      </w:r>
      <w:r>
        <w:rPr>
          <w:rFonts w:ascii="Consolas" w:hAnsi="Consolas"/>
          <w:sz w:val="17"/>
        </w:rPr>
        <w:t>25-Aug-2026</w:t>
      </w:r>
    </w:p>
    <w:p w:rsidR="00402B33" w:rsidRDefault="004B566B">
      <w:pPr>
        <w:pStyle w:val="ListBullet"/>
        <w:rPr>
          <w:rFonts w:hint="eastAsia"/>
        </w:rPr>
      </w:pPr>
      <w:r>
        <w:t xml:space="preserve">Master lot size: </w:t>
      </w:r>
      <w:r>
        <w:rPr>
          <w:rFonts w:ascii="Consolas" w:hAnsi="Consolas"/>
          <w:sz w:val="17"/>
        </w:rPr>
        <w:t>50</w:t>
      </w:r>
    </w:p>
    <w:p w:rsidR="00402B33" w:rsidRDefault="004B566B">
      <w:pPr>
        <w:pStyle w:val="ListBullet"/>
        <w:rPr>
          <w:rFonts w:hint="eastAsia"/>
        </w:rPr>
      </w:pPr>
      <w:r>
        <w:t xml:space="preserve">ATM area: </w:t>
      </w:r>
      <w:r>
        <w:rPr>
          <w:rFonts w:ascii="Consolas" w:hAnsi="Consolas"/>
          <w:sz w:val="17"/>
        </w:rPr>
        <w:t>13,800</w:t>
      </w:r>
    </w:p>
    <w:p w:rsidR="00402B33" w:rsidRDefault="004B566B">
      <w:pPr>
        <w:pStyle w:val="ListBullet"/>
        <w:rPr>
          <w:rFonts w:hint="eastAsia"/>
        </w:rPr>
      </w:pPr>
      <w:r>
        <w:t xml:space="preserve">Ladder short call: </w:t>
      </w:r>
      <w:r>
        <w:rPr>
          <w:rFonts w:ascii="Consolas" w:hAnsi="Consolas"/>
          <w:sz w:val="17"/>
        </w:rPr>
        <w:t>14,000 CE</w:t>
      </w:r>
      <w:r>
        <w:t>, premium sna</w:t>
      </w:r>
      <w:r>
        <w:t xml:space="preserve">pshot </w:t>
      </w:r>
      <w:r>
        <w:rPr>
          <w:rFonts w:ascii="Consolas" w:hAnsi="Consolas"/>
          <w:sz w:val="17"/>
        </w:rPr>
        <w:t>240.90</w:t>
      </w:r>
    </w:p>
    <w:p w:rsidR="00402B33" w:rsidRDefault="004B566B">
      <w:pPr>
        <w:pStyle w:val="ListBullet"/>
        <w:rPr>
          <w:rFonts w:hint="eastAsia"/>
        </w:rPr>
      </w:pPr>
      <w:r>
        <w:t xml:space="preserve">Ladder protective put: </w:t>
      </w:r>
      <w:r>
        <w:rPr>
          <w:rFonts w:ascii="Consolas" w:hAnsi="Consolas"/>
          <w:sz w:val="17"/>
        </w:rPr>
        <w:t>13,600 PE</w:t>
      </w:r>
      <w:r>
        <w:t xml:space="preserve">, premium snapshot </w:t>
      </w:r>
      <w:r>
        <w:rPr>
          <w:rFonts w:ascii="Consolas" w:hAnsi="Consolas"/>
          <w:sz w:val="17"/>
        </w:rPr>
        <w:t>145.55</w:t>
      </w:r>
    </w:p>
    <w:p w:rsidR="00402B33" w:rsidRDefault="004B566B">
      <w:pPr>
        <w:pStyle w:val="ListBullet"/>
        <w:rPr>
          <w:rFonts w:hint="eastAsia"/>
        </w:rPr>
      </w:pPr>
      <w:r>
        <w:t>Rolling future ladder: five planned entries using the same call and put snapshots</w:t>
      </w:r>
    </w:p>
    <w:p w:rsidR="00402B33" w:rsidRDefault="004B566B">
      <w:pPr>
        <w:rPr>
          <w:rFonts w:hint="eastAsia"/>
        </w:rPr>
      </w:pPr>
      <w:r>
        <w:t xml:space="preserve">Relative sample legs use </w:t>
      </w:r>
      <w:r>
        <w:rPr>
          <w:rFonts w:ascii="Consolas" w:hAnsi="Consolas"/>
          <w:sz w:val="17"/>
        </w:rPr>
        <w:t>OTM2</w:t>
      </w:r>
      <w:r>
        <w:t xml:space="preserve">. At the snapshot, that corresponds approximately to </w:t>
      </w:r>
      <w:r>
        <w:rPr>
          <w:rFonts w:ascii="Consolas" w:hAnsi="Consolas"/>
          <w:sz w:val="17"/>
        </w:rPr>
        <w:t>14,000 CE</w:t>
      </w:r>
      <w:r>
        <w:t xml:space="preserve"> or </w:t>
      </w:r>
      <w:r>
        <w:rPr>
          <w:rFonts w:ascii="Consolas" w:hAnsi="Consolas"/>
          <w:sz w:val="17"/>
        </w:rPr>
        <w:t xml:space="preserve">13,600 </w:t>
      </w:r>
      <w:r>
        <w:rPr>
          <w:rFonts w:ascii="Consolas" w:hAnsi="Consolas"/>
          <w:sz w:val="17"/>
        </w:rPr>
        <w:t>PE</w:t>
      </w:r>
      <w:r>
        <w:t>. Exact contracts must be resolved again at activation time because spot, expiry, and strike grids change.</w:t>
      </w:r>
    </w:p>
    <w:p w:rsidR="00402B33" w:rsidRDefault="004B566B">
      <w:pPr>
        <w:pStyle w:val="Heading2"/>
      </w:pPr>
      <w:r>
        <w:t>Analysis Fields</w:t>
      </w:r>
    </w:p>
    <w:p w:rsidR="00402B33" w:rsidRDefault="004B566B">
      <w:pPr>
        <w:rPr>
          <w:rFonts w:hint="eastAsia"/>
        </w:rPr>
      </w:pPr>
      <w:r>
        <w:t>Each strategy records creation date, first start date, calendar age, trading-day count, current reference LTP, realized P&amp;L, unreal</w:t>
      </w:r>
      <w:r>
        <w:t>ized P&amp;L, combined P&amp;L, peak P&amp;L, maximum drawdown, drawdown timestamp, leg entry/exit counts, daily performance, and a timestamped event log. Expanding a strategy shows individual contracts, quantities, trigger/fill prices, status, exit reason, and leg P&amp;</w:t>
      </w:r>
      <w:r>
        <w:t>L.</w:t>
      </w:r>
    </w:p>
    <w:p w:rsidR="00402B33" w:rsidRDefault="004B566B">
      <w:pPr>
        <w:rPr>
          <w:rFonts w:hint="eastAsia"/>
        </w:rPr>
      </w:pPr>
      <w:r>
        <w:t>The paper defaults above are intended for execution testing. The rolling future template persists monthly contract generations, but transaction costs, partial-fill simulation, and portfolio-level risk limits remain future work. This module is paper-only</w:t>
      </w:r>
      <w:r>
        <w:t xml:space="preserve"> and is not a live-order release.</w:t>
      </w:r>
    </w:p>
    <w:sectPr w:rsidR="00402B33" w:rsidSect="00034616">
      <w:footerReference w:type="default" r:id="rId8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B33" w:rsidRDefault="00402B33" w:rsidP="00402B33">
      <w:pPr>
        <w:spacing w:after="0" w:line="240" w:lineRule="auto"/>
      </w:pPr>
      <w:r>
        <w:separator/>
      </w:r>
    </w:p>
  </w:endnote>
  <w:endnote w:type="continuationSeparator" w:id="1">
    <w:p w:rsidR="00402B33" w:rsidRDefault="00402B33" w:rsidP="00402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pt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B33" w:rsidRDefault="004B566B">
    <w:pPr>
      <w:pStyle w:val="Footer"/>
      <w:jc w:val="center"/>
      <w:rPr>
        <w:rFonts w:hint="eastAsia"/>
      </w:rPr>
    </w:pPr>
    <w:r>
      <w:rPr>
        <w:color w:val="5F6973"/>
        <w:sz w:val="16"/>
      </w:rPr>
      <w:t>AlgoVigyan Demand &amp; Supply Rulebook | Updated 08 Aug 2026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B33" w:rsidRDefault="00402B33" w:rsidP="00402B33">
      <w:pPr>
        <w:spacing w:after="0" w:line="240" w:lineRule="auto"/>
      </w:pPr>
      <w:r>
        <w:separator/>
      </w:r>
    </w:p>
  </w:footnote>
  <w:footnote w:type="continuationSeparator" w:id="1">
    <w:p w:rsidR="00402B33" w:rsidRDefault="00402B33" w:rsidP="00402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15074B"/>
    <w:rsid w:val="0029639D"/>
    <w:rsid w:val="00326F90"/>
    <w:rsid w:val="00402B33"/>
    <w:rsid w:val="004B566B"/>
    <w:rsid w:val="00AA1D8D"/>
    <w:rsid w:val="00B47730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/>
      <w:b/>
      <w:bCs/>
      <w:color w:val="146C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46C7E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/>
      <w:b/>
      <w:bCs/>
      <w:color w:val="146C7E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b/>
      <w:color w:val="146C7E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2027</Words>
  <Characters>10588</Characters>
  <Application>Microsoft Office Word</Application>
  <DocSecurity>0</DocSecurity>
  <Lines>277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12418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Vishal Kothari</cp:lastModifiedBy>
  <cp:revision>2</cp:revision>
  <dcterms:created xsi:type="dcterms:W3CDTF">2013-12-23T23:15:00Z</dcterms:created>
  <dcterms:modified xsi:type="dcterms:W3CDTF">2026-08-07T18:56:00Z</dcterms:modified>
  <cp:category/>
</cp:coreProperties>
</file>